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33" w:rsidRDefault="00DB0933" w:rsidP="00DB0933">
      <w:pPr>
        <w:pStyle w:val="Textopadro"/>
        <w:tabs>
          <w:tab w:val="clear" w:pos="0"/>
          <w:tab w:val="left" w:pos="708"/>
        </w:tabs>
        <w:jc w:val="both"/>
        <w:rPr>
          <w:sz w:val="20"/>
        </w:rPr>
      </w:pPr>
    </w:p>
    <w:p w:rsidR="00DB0933" w:rsidRDefault="00DB0933" w:rsidP="00DB0933">
      <w:pPr>
        <w:pStyle w:val="Textopadro"/>
        <w:shd w:val="clear" w:color="auto" w:fill="808080"/>
        <w:tabs>
          <w:tab w:val="left" w:pos="2552"/>
        </w:tabs>
        <w:jc w:val="both"/>
        <w:rPr>
          <w:rFonts w:ascii="Cambria" w:hAnsi="Cambria"/>
          <w:b/>
          <w:sz w:val="28"/>
          <w:szCs w:val="28"/>
        </w:rPr>
      </w:pPr>
      <w:r>
        <w:drawing>
          <wp:anchor distT="0" distB="0" distL="114300" distR="114300" simplePos="0" relativeHeight="251659264" behindDoc="0" locked="0" layoutInCell="1" allowOverlap="1">
            <wp:simplePos x="0" y="0"/>
            <wp:positionH relativeFrom="column">
              <wp:posOffset>-3810</wp:posOffset>
            </wp:positionH>
            <wp:positionV relativeFrom="paragraph">
              <wp:posOffset>12700</wp:posOffset>
            </wp:positionV>
            <wp:extent cx="1276350" cy="1209675"/>
            <wp:effectExtent l="19050" t="0" r="0" b="0"/>
            <wp:wrapSquare wrapText="bothSides"/>
            <wp:docPr id="6"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4" cstate="print"/>
                    <a:srcRect/>
                    <a:stretch>
                      <a:fillRect/>
                    </a:stretch>
                  </pic:blipFill>
                  <pic:spPr bwMode="auto">
                    <a:xfrm>
                      <a:off x="0" y="0"/>
                      <a:ext cx="1276350" cy="1209675"/>
                    </a:xfrm>
                    <a:prstGeom prst="rect">
                      <a:avLst/>
                    </a:prstGeom>
                    <a:noFill/>
                    <a:ln w="9525">
                      <a:noFill/>
                      <a:miter lim="800000"/>
                      <a:headEnd/>
                      <a:tailEnd/>
                    </a:ln>
                  </pic:spPr>
                </pic:pic>
              </a:graphicData>
            </a:graphic>
          </wp:anchor>
        </w:drawing>
      </w:r>
      <w:r>
        <w:rPr>
          <w:b/>
          <w:sz w:val="20"/>
        </w:rPr>
        <w:t xml:space="preserve">   </w:t>
      </w:r>
      <w:r>
        <w:rPr>
          <w:rFonts w:ascii="Cambria" w:hAnsi="Cambria"/>
          <w:b/>
          <w:sz w:val="28"/>
          <w:szCs w:val="28"/>
        </w:rPr>
        <w:t>ESTADO DE SANTA CATARINA</w:t>
      </w:r>
    </w:p>
    <w:p w:rsidR="00DB0933" w:rsidRDefault="00DB0933" w:rsidP="00DB0933">
      <w:pPr>
        <w:pStyle w:val="Textopadro"/>
        <w:shd w:val="clear" w:color="auto" w:fill="808080"/>
        <w:tabs>
          <w:tab w:val="left" w:pos="2552"/>
        </w:tabs>
        <w:jc w:val="both"/>
        <w:rPr>
          <w:rFonts w:ascii="Cambria" w:hAnsi="Cambria"/>
          <w:b/>
          <w:sz w:val="28"/>
          <w:szCs w:val="28"/>
        </w:rPr>
      </w:pPr>
      <w:r>
        <w:rPr>
          <w:rFonts w:ascii="Cambria" w:hAnsi="Cambria"/>
          <w:b/>
          <w:sz w:val="28"/>
          <w:szCs w:val="28"/>
        </w:rPr>
        <w:t xml:space="preserve">   CÂMARA DE VEREADORES DE MAJOR VIEIRA</w:t>
      </w:r>
    </w:p>
    <w:p w:rsidR="00DB0933" w:rsidRDefault="00DB0933" w:rsidP="00DB0933">
      <w:pPr>
        <w:pStyle w:val="Textopadro"/>
        <w:shd w:val="clear" w:color="auto" w:fill="808080"/>
        <w:tabs>
          <w:tab w:val="left" w:pos="2552"/>
        </w:tabs>
        <w:jc w:val="both"/>
        <w:rPr>
          <w:rFonts w:ascii="Cambria" w:hAnsi="Cambria"/>
          <w:szCs w:val="24"/>
        </w:rPr>
      </w:pPr>
      <w:r>
        <w:rPr>
          <w:rFonts w:ascii="Cambria" w:hAnsi="Cambria"/>
          <w:b/>
          <w:szCs w:val="24"/>
        </w:rPr>
        <w:t xml:space="preserve">   E-m</w:t>
      </w:r>
      <w:r>
        <w:rPr>
          <w:rFonts w:ascii="Cambria" w:hAnsi="Cambria"/>
          <w:szCs w:val="24"/>
        </w:rPr>
        <w:t>a</w:t>
      </w:r>
      <w:r>
        <w:rPr>
          <w:rFonts w:ascii="Cambria" w:hAnsi="Cambria"/>
          <w:b/>
          <w:szCs w:val="24"/>
        </w:rPr>
        <w:t xml:space="preserve">il: </w:t>
      </w:r>
      <w:hyperlink r:id="rId5" w:history="1">
        <w:r>
          <w:rPr>
            <w:rStyle w:val="Hyperlink"/>
            <w:rFonts w:ascii="Cambria" w:eastAsia="Calibri" w:hAnsi="Cambria"/>
            <w:b/>
            <w:szCs w:val="24"/>
          </w:rPr>
          <w:t>camaramvsc@yahoo.com.br</w:t>
        </w:r>
      </w:hyperlink>
    </w:p>
    <w:p w:rsidR="00DB0933" w:rsidRDefault="00DB0933" w:rsidP="00DB0933">
      <w:pPr>
        <w:pStyle w:val="Textopadro"/>
        <w:shd w:val="clear" w:color="auto" w:fill="808080"/>
        <w:tabs>
          <w:tab w:val="left" w:pos="2552"/>
        </w:tabs>
        <w:jc w:val="both"/>
        <w:rPr>
          <w:rFonts w:ascii="Cambria" w:hAnsi="Cambria"/>
          <w:b/>
          <w:szCs w:val="24"/>
        </w:rPr>
      </w:pPr>
      <w:r>
        <w:rPr>
          <w:rFonts w:ascii="Cambria" w:hAnsi="Cambria"/>
          <w:b/>
          <w:szCs w:val="24"/>
        </w:rPr>
        <w:t xml:space="preserve">   fone: 47 3655-1130 </w:t>
      </w:r>
    </w:p>
    <w:p w:rsidR="00DB0933" w:rsidRDefault="00DB0933" w:rsidP="00DB0933">
      <w:pPr>
        <w:pStyle w:val="Textopadro"/>
        <w:shd w:val="clear" w:color="auto" w:fill="808080"/>
        <w:tabs>
          <w:tab w:val="left" w:pos="2552"/>
        </w:tabs>
        <w:jc w:val="both"/>
        <w:rPr>
          <w:rFonts w:ascii="Cambria" w:hAnsi="Cambria"/>
          <w:b/>
          <w:szCs w:val="24"/>
        </w:rPr>
      </w:pPr>
      <w:r>
        <w:rPr>
          <w:rFonts w:ascii="Cambria" w:hAnsi="Cambria"/>
          <w:b/>
          <w:szCs w:val="24"/>
        </w:rPr>
        <w:t xml:space="preserve">   Rua: João Florentino de Sousa nº 688</w:t>
      </w:r>
    </w:p>
    <w:p w:rsidR="00DB0933" w:rsidRDefault="00DB0933" w:rsidP="00DB0933">
      <w:pPr>
        <w:pStyle w:val="Textopadro"/>
        <w:shd w:val="clear" w:color="auto" w:fill="808080"/>
        <w:tabs>
          <w:tab w:val="left" w:pos="2552"/>
        </w:tabs>
        <w:jc w:val="both"/>
        <w:rPr>
          <w:rFonts w:ascii="Cambria" w:hAnsi="Cambria"/>
          <w:b/>
          <w:szCs w:val="24"/>
        </w:rPr>
      </w:pPr>
      <w:r>
        <w:rPr>
          <w:rFonts w:ascii="Cambria" w:hAnsi="Cambria"/>
          <w:b/>
          <w:szCs w:val="24"/>
        </w:rPr>
        <w:t xml:space="preserve">   CNPJ.: 83.528.638/0001-27       </w:t>
      </w:r>
    </w:p>
    <w:p w:rsidR="00DB0933" w:rsidRDefault="00DB0933" w:rsidP="00DB0933">
      <w:pPr>
        <w:jc w:val="both"/>
        <w:rPr>
          <w:rFonts w:ascii="Cambria" w:hAnsi="Cambria"/>
          <w:sz w:val="24"/>
          <w:szCs w:val="24"/>
        </w:rPr>
      </w:pPr>
      <w:r>
        <w:rPr>
          <w:rFonts w:ascii="Cambria" w:hAnsi="Cambria"/>
          <w:sz w:val="24"/>
          <w:szCs w:val="24"/>
        </w:rPr>
        <w:t xml:space="preserve">        </w:t>
      </w:r>
    </w:p>
    <w:p w:rsidR="00DB0933" w:rsidRDefault="00DB0933" w:rsidP="00DB0933">
      <w:pPr>
        <w:rPr>
          <w:rFonts w:ascii="Lucida Fax" w:hAnsi="Lucida Fax"/>
        </w:rPr>
      </w:pPr>
      <w:r>
        <w:rPr>
          <w:rFonts w:ascii="Lucida Fax" w:hAnsi="Lucida Fax"/>
        </w:rPr>
        <w:t>PROCESSO LEGISLATIVO PROJETO DE LEI</w:t>
      </w:r>
      <w:proofErr w:type="gramStart"/>
      <w:r>
        <w:rPr>
          <w:rFonts w:ascii="Lucida Fax" w:hAnsi="Lucida Fax"/>
        </w:rPr>
        <w:t xml:space="preserve">  </w:t>
      </w:r>
      <w:proofErr w:type="gramEnd"/>
      <w:r>
        <w:rPr>
          <w:rFonts w:ascii="Lucida Fax" w:hAnsi="Lucida Fax"/>
        </w:rPr>
        <w:t>Nº 062/2017</w:t>
      </w:r>
    </w:p>
    <w:p w:rsidR="00DB0933" w:rsidRDefault="00DB0933" w:rsidP="00DB0933">
      <w:pPr>
        <w:rPr>
          <w:rFonts w:ascii="Lucida Fax" w:hAnsi="Lucida Fax"/>
        </w:rPr>
      </w:pPr>
      <w:r>
        <w:rPr>
          <w:rFonts w:ascii="Lucida Fax" w:hAnsi="Lucida Fax"/>
        </w:rPr>
        <w:t>Ementa:</w:t>
      </w:r>
      <w:proofErr w:type="gramStart"/>
      <w:r>
        <w:rPr>
          <w:rFonts w:ascii="Lucida Fax" w:hAnsi="Lucida Fax"/>
        </w:rPr>
        <w:t xml:space="preserve">  </w:t>
      </w:r>
      <w:proofErr w:type="gramEnd"/>
      <w:r>
        <w:rPr>
          <w:rFonts w:ascii="Lucida Fax" w:hAnsi="Lucida Fax"/>
        </w:rPr>
        <w:t>“Estima a Receita e Fixa a Despesa do Município de Major Vieira para o Exercício de 2018”.</w:t>
      </w:r>
    </w:p>
    <w:p w:rsidR="00DB0933" w:rsidRDefault="00DB0933" w:rsidP="00DB0933">
      <w:pPr>
        <w:rPr>
          <w:rFonts w:ascii="Lucida Fax" w:hAnsi="Lucida Fax"/>
        </w:rPr>
      </w:pPr>
      <w:r>
        <w:rPr>
          <w:rFonts w:ascii="Lucida Fax" w:hAnsi="Lucida Fax"/>
        </w:rPr>
        <w:t>Em</w:t>
      </w:r>
      <w:r w:rsidR="00ED15AB">
        <w:rPr>
          <w:rFonts w:ascii="Lucida Fax" w:hAnsi="Lucida Fax"/>
        </w:rPr>
        <w:t>enda modificativa</w:t>
      </w:r>
      <w:proofErr w:type="gramStart"/>
      <w:r w:rsidR="00ED15AB">
        <w:rPr>
          <w:rFonts w:ascii="Lucida Fax" w:hAnsi="Lucida Fax"/>
        </w:rPr>
        <w:t xml:space="preserve">  </w:t>
      </w:r>
      <w:proofErr w:type="gramEnd"/>
      <w:r w:rsidR="00ED15AB">
        <w:rPr>
          <w:rFonts w:ascii="Lucida Fax" w:hAnsi="Lucida Fax"/>
        </w:rPr>
        <w:t xml:space="preserve">nº </w:t>
      </w:r>
      <w:r>
        <w:rPr>
          <w:rFonts w:ascii="Lucida Fax" w:hAnsi="Lucida Fax"/>
        </w:rPr>
        <w:t xml:space="preserve"> </w:t>
      </w:r>
      <w:r w:rsidR="00ED15AB">
        <w:rPr>
          <w:rFonts w:ascii="Lucida Fax" w:hAnsi="Lucida Fax"/>
        </w:rPr>
        <w:t xml:space="preserve">  004</w:t>
      </w:r>
    </w:p>
    <w:p w:rsidR="00DB0933" w:rsidRDefault="00DB0933" w:rsidP="00DB0933">
      <w:pPr>
        <w:rPr>
          <w:rFonts w:ascii="Lucida Fax" w:hAnsi="Lucida Fax"/>
        </w:rPr>
      </w:pPr>
      <w:r>
        <w:rPr>
          <w:rFonts w:ascii="Lucida Fax" w:hAnsi="Lucida Fax"/>
        </w:rPr>
        <w:t>Dá Nova redação ao art. 23,</w:t>
      </w:r>
      <w:proofErr w:type="gramStart"/>
      <w:r>
        <w:rPr>
          <w:rFonts w:ascii="Lucida Fax" w:hAnsi="Lucida Fax"/>
        </w:rPr>
        <w:t xml:space="preserve"> </w:t>
      </w:r>
      <w:r w:rsidR="00ED15AB">
        <w:rPr>
          <w:rFonts w:ascii="Lucida Fax" w:hAnsi="Lucida Fax"/>
        </w:rPr>
        <w:t xml:space="preserve"> </w:t>
      </w:r>
      <w:proofErr w:type="gramEnd"/>
      <w:r w:rsidR="00ED15AB">
        <w:rPr>
          <w:rFonts w:ascii="Lucida Fax" w:hAnsi="Lucida Fax"/>
        </w:rPr>
        <w:t xml:space="preserve">acrescenta o art. 24,  e renumera o atual art. 24 para art. 25. </w:t>
      </w:r>
      <w:r>
        <w:rPr>
          <w:rFonts w:ascii="Lucida Fax" w:hAnsi="Lucida Fax"/>
        </w:rPr>
        <w:t xml:space="preserve"> </w:t>
      </w:r>
    </w:p>
    <w:p w:rsidR="00DB0933" w:rsidRDefault="00DB0933" w:rsidP="00DB0933">
      <w:pPr>
        <w:rPr>
          <w:rFonts w:ascii="Lucida Fax" w:hAnsi="Lucida Fax"/>
        </w:rPr>
      </w:pPr>
    </w:p>
    <w:p w:rsidR="00DB0933" w:rsidRPr="00DF47EB" w:rsidRDefault="00DB0933" w:rsidP="00DB0933">
      <w:pPr>
        <w:jc w:val="both"/>
        <w:rPr>
          <w:rFonts w:ascii="Arial" w:hAnsi="Arial" w:cs="Arial"/>
          <w:b/>
          <w:sz w:val="24"/>
          <w:szCs w:val="24"/>
        </w:rPr>
      </w:pPr>
      <w:r w:rsidRPr="00197938">
        <w:rPr>
          <w:rFonts w:ascii="Arial" w:hAnsi="Arial" w:cs="Arial"/>
          <w:b/>
          <w:sz w:val="24"/>
          <w:szCs w:val="24"/>
        </w:rPr>
        <w:t xml:space="preserve">Art. </w:t>
      </w:r>
      <w:r w:rsidR="00ED15AB">
        <w:rPr>
          <w:rFonts w:ascii="Arial" w:hAnsi="Arial" w:cs="Arial"/>
          <w:b/>
          <w:sz w:val="24"/>
          <w:szCs w:val="24"/>
        </w:rPr>
        <w:t>23</w:t>
      </w:r>
      <w:r w:rsidRPr="00F73C04">
        <w:rPr>
          <w:rFonts w:ascii="Arial" w:hAnsi="Arial" w:cs="Arial"/>
          <w:sz w:val="24"/>
          <w:szCs w:val="24"/>
        </w:rPr>
        <w:t xml:space="preserve">. É obrigatória a execução orçamentária e financeira da programação incluída por emendas individuais do Legislativo Municipal em Lei Orçamentária Anual. (vide §11 do art. 166 da CF)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 1º</w:t>
      </w:r>
      <w:r w:rsidRPr="00F73C04">
        <w:rPr>
          <w:rFonts w:ascii="Arial" w:hAnsi="Arial" w:cs="Arial"/>
          <w:sz w:val="24"/>
          <w:szCs w:val="24"/>
        </w:rPr>
        <w:t xml:space="preserve"> As emendas individuais ao projeto de lei orçamentária serão aprovadas no limite de 1,2% (um inteiro e dois décimos por cento) da receita corrente líquida realizada no exercício anterior, sendo que a metade deste percentual será destinada a ações e serviços públicos de saúde. (vide §9º do art. 166 da CF)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 2º</w:t>
      </w:r>
      <w:r w:rsidRPr="00F73C04">
        <w:rPr>
          <w:rFonts w:ascii="Arial" w:hAnsi="Arial" w:cs="Arial"/>
          <w:sz w:val="24"/>
          <w:szCs w:val="24"/>
        </w:rPr>
        <w:t xml:space="preserve"> As programações orçamentárias previstas no caput deste artigo não serão de execução obrigatória nos casos dos impedimentos estritamente de ordem técnica, nestes casos, serão adotadas as seguintes medidas: (vide §12 e §14 do art. 166 da CF)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I –</w:t>
      </w:r>
      <w:r w:rsidRPr="00F73C04">
        <w:rPr>
          <w:rFonts w:ascii="Arial" w:hAnsi="Arial" w:cs="Arial"/>
          <w:sz w:val="24"/>
          <w:szCs w:val="24"/>
        </w:rPr>
        <w:t xml:space="preserve"> até cento e vinte dias após a publicação da lei orçamentária, o Poder Executivo enviará ao Poder Legislativo as justificativas do impedimento;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II –</w:t>
      </w:r>
      <w:r w:rsidRPr="00F73C04">
        <w:rPr>
          <w:rFonts w:ascii="Arial" w:hAnsi="Arial" w:cs="Arial"/>
          <w:sz w:val="24"/>
          <w:szCs w:val="24"/>
        </w:rPr>
        <w:t xml:space="preserve"> até trinta dias após o término do prazo previsto no inciso I deste parágrafo, o Poder Legislativo indicará ao Poder Executivo o remanejamento da programação cujo impedimento seja insuperável;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III –</w:t>
      </w:r>
      <w:r w:rsidRPr="00F73C04">
        <w:rPr>
          <w:rFonts w:ascii="Arial" w:hAnsi="Arial" w:cs="Arial"/>
          <w:sz w:val="24"/>
          <w:szCs w:val="24"/>
        </w:rPr>
        <w:t xml:space="preserve"> até 30 de setembro, ou até trinta dias após o prazo previsto no inciso II, o Poder Executivo encaminhará projeto de lei ao Legislativo Municipal sobre o remanejamento da programação prevista inicialmente cujo impedimento seja insuperável; e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IV –</w:t>
      </w:r>
      <w:r w:rsidRPr="00F73C04">
        <w:rPr>
          <w:rFonts w:ascii="Arial" w:hAnsi="Arial" w:cs="Arial"/>
          <w:sz w:val="24"/>
          <w:szCs w:val="24"/>
        </w:rPr>
        <w:t xml:space="preserve"> se, até 20 de novembro, ou até trinta dias após o término do prazo previsto no inciso III, o Legislativo Municipal não deliberar sobre o projeto, o </w:t>
      </w:r>
      <w:r w:rsidRPr="00F73C04">
        <w:rPr>
          <w:rFonts w:ascii="Arial" w:hAnsi="Arial" w:cs="Arial"/>
          <w:sz w:val="24"/>
          <w:szCs w:val="24"/>
        </w:rPr>
        <w:lastRenderedPageBreak/>
        <w:t xml:space="preserve">remanejamento será implementado por ato do Poder Executivo, nos termos previstos na lei orçamentária anual.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V–</w:t>
      </w:r>
      <w:r w:rsidRPr="00F73C04">
        <w:rPr>
          <w:rFonts w:ascii="Arial" w:hAnsi="Arial" w:cs="Arial"/>
          <w:sz w:val="24"/>
          <w:szCs w:val="24"/>
        </w:rPr>
        <w:t xml:space="preserve"> No caso de descumprimento do prazo imposto no inciso IV do §2º as programações orçamentárias previstas no caput deste artigo não serão consideradas de execução obrigatória nos casos dos impedimentos justificados na notificação prevista no inciso I do § 2º deste artigo. (vide §15 do art. 166 da CF)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 3º</w:t>
      </w:r>
      <w:r w:rsidRPr="00F73C04">
        <w:rPr>
          <w:rFonts w:ascii="Arial" w:hAnsi="Arial" w:cs="Arial"/>
          <w:sz w:val="24"/>
          <w:szCs w:val="24"/>
        </w:rPr>
        <w:t xml:space="preserve"> Considera-se equitativa a execução das programações em caráter obrigatório que atenda de forma igualitária e impessoal às emendas apresentadas, independentemente de autoria. (vide §18 do art. 166 da CF)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 4º</w:t>
      </w:r>
      <w:r w:rsidRPr="00F73C04">
        <w:rPr>
          <w:rFonts w:ascii="Arial" w:hAnsi="Arial" w:cs="Arial"/>
          <w:sz w:val="24"/>
          <w:szCs w:val="24"/>
        </w:rPr>
        <w:t xml:space="preserve"> Para fins do disposto no caput deste artigo, a execução da programação orçamentária será:</w:t>
      </w:r>
    </w:p>
    <w:p w:rsidR="00DB0933" w:rsidRPr="00F73C04" w:rsidRDefault="00DB0933" w:rsidP="00DB0933">
      <w:pPr>
        <w:jc w:val="both"/>
        <w:rPr>
          <w:rFonts w:ascii="Arial" w:hAnsi="Arial" w:cs="Arial"/>
          <w:sz w:val="24"/>
          <w:szCs w:val="24"/>
        </w:rPr>
      </w:pPr>
      <w:r w:rsidRPr="00197938">
        <w:rPr>
          <w:rFonts w:ascii="Arial" w:hAnsi="Arial" w:cs="Arial"/>
          <w:b/>
          <w:sz w:val="24"/>
          <w:szCs w:val="24"/>
        </w:rPr>
        <w:t>I –</w:t>
      </w:r>
      <w:r w:rsidRPr="00F73C04">
        <w:rPr>
          <w:rFonts w:ascii="Arial" w:hAnsi="Arial" w:cs="Arial"/>
          <w:sz w:val="24"/>
          <w:szCs w:val="24"/>
        </w:rPr>
        <w:t xml:space="preserve"> demonstrada em dotações orçamentárias específicas da Lei Orçamentária Anual, preferencialmente em nível de subunidade orçamentária vinculada à secretaria municipal correspondente à despesa, para fins de apuração de seus respectivos custos e prestação de contas; </w:t>
      </w:r>
    </w:p>
    <w:p w:rsidR="00DB0933" w:rsidRPr="00F73C04" w:rsidRDefault="00DB0933" w:rsidP="00DB0933">
      <w:pPr>
        <w:jc w:val="both"/>
        <w:rPr>
          <w:rFonts w:ascii="Arial" w:hAnsi="Arial" w:cs="Arial"/>
          <w:sz w:val="24"/>
          <w:szCs w:val="24"/>
        </w:rPr>
      </w:pPr>
      <w:r w:rsidRPr="00197938">
        <w:rPr>
          <w:rFonts w:ascii="Arial" w:hAnsi="Arial" w:cs="Arial"/>
          <w:b/>
          <w:sz w:val="24"/>
          <w:szCs w:val="24"/>
        </w:rPr>
        <w:t>II –</w:t>
      </w:r>
      <w:r w:rsidRPr="00F73C04">
        <w:rPr>
          <w:rFonts w:ascii="Arial" w:hAnsi="Arial" w:cs="Arial"/>
          <w:sz w:val="24"/>
          <w:szCs w:val="24"/>
        </w:rPr>
        <w:t xml:space="preserve"> fiscalizada e avaliada, pelo Vereador autor da emenda, quanto aos resultados obtidos. </w:t>
      </w:r>
    </w:p>
    <w:p w:rsidR="00DB0933" w:rsidRPr="00BE1E5A" w:rsidRDefault="00DB0933" w:rsidP="00DB0933">
      <w:pPr>
        <w:jc w:val="both"/>
        <w:rPr>
          <w:rFonts w:ascii="Arial" w:hAnsi="Arial" w:cs="Arial"/>
        </w:rPr>
      </w:pPr>
      <w:r w:rsidRPr="00197938">
        <w:rPr>
          <w:rFonts w:ascii="Arial" w:hAnsi="Arial" w:cs="Arial"/>
          <w:b/>
          <w:sz w:val="24"/>
          <w:szCs w:val="24"/>
        </w:rPr>
        <w:t>§ 5º</w:t>
      </w:r>
      <w:r w:rsidRPr="00F73C04">
        <w:rPr>
          <w:rFonts w:ascii="Arial" w:hAnsi="Arial" w:cs="Arial"/>
          <w:sz w:val="24"/>
          <w:szCs w:val="24"/>
        </w:rPr>
        <w:t xml:space="preserve"> A não execução da programação orçamentária das emendas parlamentares previstas neste artigo implicará em crime de responsabilidade, nos termos da legislação aplicável</w:t>
      </w:r>
    </w:p>
    <w:p w:rsidR="00DB0933" w:rsidRDefault="00DB0933" w:rsidP="00DB0933">
      <w:pPr>
        <w:jc w:val="both"/>
        <w:rPr>
          <w:rFonts w:ascii="Arial" w:hAnsi="Arial" w:cs="Arial"/>
        </w:rPr>
      </w:pPr>
      <w:r w:rsidRPr="006A17D6">
        <w:rPr>
          <w:rFonts w:ascii="Arial" w:hAnsi="Arial" w:cs="Arial"/>
          <w:b/>
        </w:rPr>
        <w:t xml:space="preserve">Art. </w:t>
      </w:r>
      <w:r w:rsidR="00ED15AB">
        <w:rPr>
          <w:rFonts w:ascii="Arial" w:hAnsi="Arial" w:cs="Arial"/>
          <w:b/>
        </w:rPr>
        <w:t>24.</w:t>
      </w:r>
      <w:r>
        <w:rPr>
          <w:rFonts w:ascii="Arial" w:hAnsi="Arial" w:cs="Arial"/>
          <w:b/>
        </w:rPr>
        <w:t xml:space="preserve"> </w:t>
      </w:r>
      <w:r>
        <w:rPr>
          <w:rFonts w:ascii="Arial" w:hAnsi="Arial" w:cs="Arial"/>
        </w:rPr>
        <w:t xml:space="preserve"> Os recursos financeiros destinados ao Poder Legislativo Municipal no quadriênio 2018/2021, corresponderão ao percentual de 7% (sete por cento) relativo ao somatório da receita tributária e das transferências</w:t>
      </w:r>
      <w:proofErr w:type="gramStart"/>
      <w:r>
        <w:rPr>
          <w:rFonts w:ascii="Arial" w:hAnsi="Arial" w:cs="Arial"/>
        </w:rPr>
        <w:t xml:space="preserve">  </w:t>
      </w:r>
      <w:proofErr w:type="gramEnd"/>
      <w:r>
        <w:rPr>
          <w:rFonts w:ascii="Arial" w:hAnsi="Arial" w:cs="Arial"/>
        </w:rPr>
        <w:t xml:space="preserve">previstas no § 5º do art. 153 e nos </w:t>
      </w:r>
      <w:proofErr w:type="spellStart"/>
      <w:r>
        <w:rPr>
          <w:rFonts w:ascii="Arial" w:hAnsi="Arial" w:cs="Arial"/>
        </w:rPr>
        <w:t>arts</w:t>
      </w:r>
      <w:proofErr w:type="spellEnd"/>
      <w:r>
        <w:rPr>
          <w:rFonts w:ascii="Arial" w:hAnsi="Arial" w:cs="Arial"/>
        </w:rPr>
        <w:t>. 158 e 159 da CF, efetivamente realizado nos</w:t>
      </w:r>
      <w:proofErr w:type="gramStart"/>
      <w:r>
        <w:rPr>
          <w:rFonts w:ascii="Arial" w:hAnsi="Arial" w:cs="Arial"/>
        </w:rPr>
        <w:t xml:space="preserve">  </w:t>
      </w:r>
      <w:proofErr w:type="gramEnd"/>
      <w:r>
        <w:rPr>
          <w:rFonts w:ascii="Arial" w:hAnsi="Arial" w:cs="Arial"/>
        </w:rPr>
        <w:t>respectivos exercícios  anteriores, excluído desse limite os gastos com funcionários inativos da Câmara.</w:t>
      </w:r>
    </w:p>
    <w:p w:rsidR="00DB0933" w:rsidRDefault="00DB0933" w:rsidP="00DB0933">
      <w:pPr>
        <w:jc w:val="both"/>
        <w:rPr>
          <w:rFonts w:ascii="Arial" w:hAnsi="Arial" w:cs="Arial"/>
        </w:rPr>
      </w:pPr>
      <w:r w:rsidRPr="00FC59B2">
        <w:rPr>
          <w:rFonts w:ascii="Arial" w:hAnsi="Arial" w:cs="Arial"/>
          <w:b/>
        </w:rPr>
        <w:t>Parágrafo único.</w:t>
      </w:r>
      <w:r>
        <w:rPr>
          <w:rFonts w:ascii="Arial" w:hAnsi="Arial" w:cs="Arial"/>
        </w:rPr>
        <w:t xml:space="preserve"> Se verificado</w:t>
      </w:r>
      <w:proofErr w:type="gramStart"/>
      <w:r>
        <w:rPr>
          <w:rFonts w:ascii="Arial" w:hAnsi="Arial" w:cs="Arial"/>
        </w:rPr>
        <w:t xml:space="preserve">  </w:t>
      </w:r>
      <w:proofErr w:type="gramEnd"/>
      <w:r>
        <w:rPr>
          <w:rFonts w:ascii="Arial" w:hAnsi="Arial" w:cs="Arial"/>
        </w:rPr>
        <w:t>no início  de cada   exercício , que os recursos financeiros de que trata o “</w:t>
      </w:r>
      <w:r w:rsidRPr="00FC59B2">
        <w:rPr>
          <w:rFonts w:ascii="Arial" w:hAnsi="Arial" w:cs="Arial"/>
          <w:i/>
        </w:rPr>
        <w:t>caput</w:t>
      </w:r>
      <w:r>
        <w:rPr>
          <w:rFonts w:ascii="Arial" w:hAnsi="Arial" w:cs="Arial"/>
        </w:rPr>
        <w:t xml:space="preserve">” deste artigo estão aquém do percentual de 7% (sete por cento)  previsto no art. 29-A, inciso I da CF/88, o Presidente da Câmara  através de ato da  Presidência proverá a </w:t>
      </w:r>
      <w:proofErr w:type="spellStart"/>
      <w:r>
        <w:rPr>
          <w:rFonts w:ascii="Arial" w:hAnsi="Arial" w:cs="Arial"/>
        </w:rPr>
        <w:t>reestimativa</w:t>
      </w:r>
      <w:proofErr w:type="spellEnd"/>
      <w:r>
        <w:rPr>
          <w:rFonts w:ascii="Arial" w:hAnsi="Arial" w:cs="Arial"/>
        </w:rPr>
        <w:t xml:space="preserve"> dos valores, para encaminhamento ao Poder Executivo, de modo que seja feita a  adequação orçamentária. </w:t>
      </w:r>
    </w:p>
    <w:p w:rsidR="00ED15AB" w:rsidRPr="00ED15AB" w:rsidRDefault="00ED15AB" w:rsidP="00DB0933">
      <w:pPr>
        <w:jc w:val="both"/>
        <w:rPr>
          <w:rFonts w:ascii="Arial" w:hAnsi="Arial" w:cs="Arial"/>
          <w:b/>
        </w:rPr>
      </w:pPr>
      <w:r w:rsidRPr="00ED15AB">
        <w:rPr>
          <w:rFonts w:ascii="Arial" w:hAnsi="Arial" w:cs="Arial"/>
          <w:b/>
        </w:rPr>
        <w:t>Art. 25. (...)</w:t>
      </w:r>
    </w:p>
    <w:p w:rsidR="00DB0933" w:rsidRPr="00BE1E5A" w:rsidRDefault="00DB0933" w:rsidP="00DB0933">
      <w:pPr>
        <w:jc w:val="both"/>
        <w:rPr>
          <w:rFonts w:ascii="Arial" w:hAnsi="Arial" w:cs="Arial"/>
        </w:rPr>
      </w:pPr>
    </w:p>
    <w:p w:rsidR="00DB0933" w:rsidRPr="00BA7166" w:rsidRDefault="00DB0933" w:rsidP="00DB0933">
      <w:pPr>
        <w:rPr>
          <w:rFonts w:ascii="Lucida Fax" w:hAnsi="Lucida Fax"/>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2881"/>
        <w:gridCol w:w="2882"/>
      </w:tblGrid>
      <w:tr w:rsidR="00DB0933" w:rsidRPr="00BA7166" w:rsidTr="0001056B">
        <w:tc>
          <w:tcPr>
            <w:tcW w:w="2881" w:type="dxa"/>
            <w:tcBorders>
              <w:top w:val="single" w:sz="4" w:space="0" w:color="auto"/>
              <w:left w:val="single" w:sz="4" w:space="0" w:color="auto"/>
              <w:bottom w:val="single" w:sz="4" w:space="0" w:color="auto"/>
              <w:right w:val="single" w:sz="4" w:space="0" w:color="auto"/>
            </w:tcBorders>
            <w:hideMark/>
          </w:tcPr>
          <w:p w:rsidR="00DB0933" w:rsidRPr="00BA7166" w:rsidRDefault="00DB0933" w:rsidP="0001056B">
            <w:pPr>
              <w:rPr>
                <w:rFonts w:ascii="Lucida Fax" w:hAnsi="Lucida Fax"/>
                <w:sz w:val="18"/>
                <w:szCs w:val="18"/>
              </w:rPr>
            </w:pPr>
            <w:r w:rsidRPr="00BA7166">
              <w:rPr>
                <w:rFonts w:ascii="Lucida Fax" w:hAnsi="Lucida Fax"/>
                <w:sz w:val="18"/>
                <w:szCs w:val="18"/>
              </w:rPr>
              <w:t>AUTORIA</w:t>
            </w:r>
          </w:p>
          <w:p w:rsidR="00DB0933" w:rsidRPr="00BA7166" w:rsidRDefault="00DB0933" w:rsidP="0001056B">
            <w:pPr>
              <w:spacing w:after="0"/>
              <w:rPr>
                <w:rFonts w:ascii="Lucida Fax" w:hAnsi="Lucida Fax"/>
                <w:sz w:val="18"/>
                <w:szCs w:val="18"/>
              </w:rPr>
            </w:pPr>
            <w:r w:rsidRPr="00BA7166">
              <w:rPr>
                <w:rFonts w:ascii="Lucida Fax" w:hAnsi="Lucida Fax"/>
                <w:sz w:val="18"/>
                <w:szCs w:val="18"/>
              </w:rPr>
              <w:t xml:space="preserve">Comissão de Finanças, Orçamento e Fiscalização    </w:t>
            </w:r>
          </w:p>
        </w:tc>
        <w:tc>
          <w:tcPr>
            <w:tcW w:w="2881" w:type="dxa"/>
            <w:tcBorders>
              <w:top w:val="single" w:sz="4" w:space="0" w:color="auto"/>
              <w:left w:val="single" w:sz="4" w:space="0" w:color="auto"/>
              <w:bottom w:val="single" w:sz="4" w:space="0" w:color="auto"/>
              <w:right w:val="single" w:sz="4" w:space="0" w:color="auto"/>
            </w:tcBorders>
            <w:hideMark/>
          </w:tcPr>
          <w:p w:rsidR="00DB0933" w:rsidRPr="00BA7166" w:rsidRDefault="00DB0933" w:rsidP="0001056B">
            <w:pPr>
              <w:rPr>
                <w:rFonts w:ascii="Lucida Fax" w:hAnsi="Lucida Fax"/>
                <w:sz w:val="18"/>
                <w:szCs w:val="18"/>
              </w:rPr>
            </w:pPr>
            <w:r w:rsidRPr="00BA7166">
              <w:rPr>
                <w:rFonts w:ascii="Lucida Fax" w:hAnsi="Lucida Fax"/>
                <w:sz w:val="18"/>
                <w:szCs w:val="18"/>
              </w:rPr>
              <w:t>ASSINATURA</w:t>
            </w:r>
          </w:p>
        </w:tc>
        <w:tc>
          <w:tcPr>
            <w:tcW w:w="2882" w:type="dxa"/>
            <w:tcBorders>
              <w:top w:val="single" w:sz="4" w:space="0" w:color="auto"/>
              <w:left w:val="single" w:sz="4" w:space="0" w:color="auto"/>
              <w:bottom w:val="single" w:sz="4" w:space="0" w:color="auto"/>
              <w:right w:val="single" w:sz="4" w:space="0" w:color="auto"/>
            </w:tcBorders>
            <w:hideMark/>
          </w:tcPr>
          <w:p w:rsidR="00DB0933" w:rsidRPr="00BA7166" w:rsidRDefault="00DB0933" w:rsidP="0001056B">
            <w:pPr>
              <w:rPr>
                <w:rFonts w:ascii="Lucida Fax" w:hAnsi="Lucida Fax"/>
                <w:sz w:val="18"/>
                <w:szCs w:val="18"/>
              </w:rPr>
            </w:pPr>
            <w:r w:rsidRPr="00BA7166">
              <w:rPr>
                <w:rFonts w:ascii="Lucida Fax" w:hAnsi="Lucida Fax"/>
                <w:sz w:val="18"/>
                <w:szCs w:val="18"/>
              </w:rPr>
              <w:t>DATA</w:t>
            </w:r>
          </w:p>
          <w:p w:rsidR="00DB0933" w:rsidRPr="00BA7166" w:rsidRDefault="00DB0933" w:rsidP="0001056B">
            <w:pPr>
              <w:rPr>
                <w:rFonts w:ascii="Lucida Fax" w:hAnsi="Lucida Fax"/>
                <w:sz w:val="18"/>
                <w:szCs w:val="18"/>
              </w:rPr>
            </w:pPr>
            <w:r w:rsidRPr="00BA7166">
              <w:rPr>
                <w:rFonts w:ascii="Lucida Fax" w:hAnsi="Lucida Fax"/>
                <w:sz w:val="18"/>
                <w:szCs w:val="18"/>
              </w:rPr>
              <w:t>06/10/2017</w:t>
            </w:r>
          </w:p>
        </w:tc>
      </w:tr>
    </w:tbl>
    <w:p w:rsidR="00DB0933" w:rsidRPr="00BA7166" w:rsidRDefault="00DB0933" w:rsidP="00DB0933">
      <w:pPr>
        <w:rPr>
          <w:rFonts w:ascii="Lucida Fax" w:hAnsi="Lucida Fax"/>
          <w:sz w:val="18"/>
          <w:szCs w:val="18"/>
        </w:rPr>
      </w:pPr>
    </w:p>
    <w:p w:rsidR="00DB0933" w:rsidRDefault="00DB0933" w:rsidP="00DB0933"/>
    <w:p w:rsidR="00A55E2B" w:rsidRDefault="008877FE"/>
    <w:sectPr w:rsidR="00A55E2B" w:rsidSect="007339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Lucida Fax">
    <w:panose1 w:val="020606020505050202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rsids>
    <w:rsidRoot w:val="00DB0933"/>
    <w:rsid w:val="007533CC"/>
    <w:rsid w:val="008877FE"/>
    <w:rsid w:val="00D260BC"/>
    <w:rsid w:val="00DB0933"/>
    <w:rsid w:val="00ED15AB"/>
    <w:rsid w:val="00F665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93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DB0933"/>
    <w:rPr>
      <w:color w:val="0000FF"/>
      <w:u w:val="single"/>
    </w:rPr>
  </w:style>
  <w:style w:type="paragraph" w:customStyle="1" w:styleId="Textopadro">
    <w:name w:val="Texto padrão"/>
    <w:basedOn w:val="Normal"/>
    <w:rsid w:val="00DB0933"/>
    <w:pPr>
      <w:tabs>
        <w:tab w:val="left" w:pos="0"/>
      </w:tabs>
      <w:spacing w:after="0" w:line="240" w:lineRule="auto"/>
    </w:pPr>
    <w:rPr>
      <w:rFonts w:ascii="Arial" w:eastAsia="Times New Roman" w:hAnsi="Arial" w:cs="Arial"/>
      <w:noProof/>
      <w:sz w:val="24"/>
      <w:szCs w:val="20"/>
      <w:lang w:eastAsia="pt-BR"/>
    </w:rPr>
  </w:style>
  <w:style w:type="paragraph" w:styleId="Textodebalo">
    <w:name w:val="Balloon Text"/>
    <w:basedOn w:val="Normal"/>
    <w:link w:val="TextodebaloChar"/>
    <w:uiPriority w:val="99"/>
    <w:semiHidden/>
    <w:unhideWhenUsed/>
    <w:rsid w:val="00ED15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15A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maramvsc@yahoo.com.br"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655</Words>
  <Characters>3541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1</cp:revision>
  <cp:lastPrinted>2017-11-09T17:06:00Z</cp:lastPrinted>
  <dcterms:created xsi:type="dcterms:W3CDTF">2017-11-09T16:43:00Z</dcterms:created>
  <dcterms:modified xsi:type="dcterms:W3CDTF">2017-11-09T19:06:00Z</dcterms:modified>
</cp:coreProperties>
</file>